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031" w:rsidRDefault="00960839" w:rsidP="00B74C23">
      <w:pPr>
        <w:spacing w:after="0" w:line="240" w:lineRule="auto"/>
        <w:rPr>
          <w:rFonts w:ascii="Tahoma" w:hAnsi="Tahoma" w:cs="Tahoma"/>
          <w:sz w:val="18"/>
          <w:szCs w:val="1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507.4pt;height:82.2pt">
            <v:imagedata r:id="rId6" o:title=""/>
          </v:shape>
        </w:pict>
      </w:r>
      <w:r w:rsidR="00A06031">
        <w:rPr>
          <w:rFonts w:ascii="Tahoma" w:hAnsi="Tahoma" w:cs="Tahoma"/>
          <w:sz w:val="18"/>
          <w:szCs w:val="18"/>
        </w:rPr>
        <w:t xml:space="preserve"> </w:t>
      </w:r>
    </w:p>
    <w:tbl>
      <w:tblPr>
        <w:tblW w:w="9778" w:type="dxa"/>
        <w:tblLayout w:type="fixed"/>
        <w:tblLook w:val="0000"/>
      </w:tblPr>
      <w:tblGrid>
        <w:gridCol w:w="1101"/>
        <w:gridCol w:w="8677"/>
      </w:tblGrid>
      <w:tr w:rsidR="00A06031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A06031" w:rsidRDefault="00A06031" w:rsidP="00B74C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Zakład:</w:t>
            </w:r>
          </w:p>
        </w:tc>
        <w:tc>
          <w:tcPr>
            <w:tcW w:w="8677" w:type="dxa"/>
            <w:tcBorders>
              <w:top w:val="nil"/>
              <w:left w:val="nil"/>
              <w:bottom w:val="nil"/>
              <w:right w:val="nil"/>
            </w:tcBorders>
          </w:tcPr>
          <w:p w:rsidR="00A06031" w:rsidRDefault="00A06031" w:rsidP="00B74C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"HENKOR" J.M.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Kordylak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Spółka Jawna z siedzibą w miejscowości Dębianki 4A, 87-875 Topólka</w:t>
            </w:r>
          </w:p>
          <w:p w:rsidR="00A06031" w:rsidRDefault="00A06031" w:rsidP="00B74C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A06031" w:rsidRDefault="00A06031" w:rsidP="00B74C23">
      <w:pPr>
        <w:spacing w:after="0" w:line="240" w:lineRule="auto"/>
        <w:rPr>
          <w:rFonts w:ascii="Tahoma" w:hAnsi="Tahoma" w:cs="Tahoma"/>
        </w:rPr>
      </w:pPr>
    </w:p>
    <w:p w:rsidR="00A06031" w:rsidRDefault="00A06031" w:rsidP="00B74C23">
      <w:pPr>
        <w:spacing w:after="0" w:line="240" w:lineRule="auto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Parametry emitorów </w:t>
      </w:r>
    </w:p>
    <w:p w:rsidR="00A06031" w:rsidRDefault="00A06031" w:rsidP="00B74C23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tbl>
      <w:tblPr>
        <w:tblW w:w="10421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8"/>
        <w:gridCol w:w="2930"/>
        <w:gridCol w:w="975"/>
        <w:gridCol w:w="1191"/>
        <w:gridCol w:w="909"/>
        <w:gridCol w:w="909"/>
        <w:gridCol w:w="827"/>
        <w:gridCol w:w="827"/>
        <w:gridCol w:w="1125"/>
      </w:tblGrid>
      <w:tr w:rsidR="004125F5">
        <w:trPr>
          <w:tblHeader/>
        </w:trPr>
        <w:tc>
          <w:tcPr>
            <w:tcW w:w="72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Symbol</w:t>
            </w:r>
          </w:p>
        </w:tc>
        <w:tc>
          <w:tcPr>
            <w:tcW w:w="2930" w:type="dxa"/>
            <w:tcBorders>
              <w:top w:val="single" w:sz="8" w:space="0" w:color="auto"/>
              <w:left w:val="nil"/>
              <w:bottom w:val="nil"/>
              <w:right w:val="single" w:sz="6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emitora</w:t>
            </w:r>
          </w:p>
        </w:tc>
        <w:tc>
          <w:tcPr>
            <w:tcW w:w="97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Wysokość</w:t>
            </w:r>
          </w:p>
        </w:tc>
        <w:tc>
          <w:tcPr>
            <w:tcW w:w="1191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Przekrój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Prędkość gazów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Temper. gazów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Xe</w:t>
            </w:r>
          </w:p>
        </w:tc>
        <w:tc>
          <w:tcPr>
            <w:tcW w:w="82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Ye</w:t>
            </w:r>
            <w:proofErr w:type="spellEnd"/>
          </w:p>
        </w:tc>
        <w:tc>
          <w:tcPr>
            <w:tcW w:w="112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Czas pracy</w:t>
            </w:r>
          </w:p>
        </w:tc>
      </w:tr>
      <w:tr w:rsidR="004125F5">
        <w:trPr>
          <w:tblHeader/>
        </w:trPr>
        <w:tc>
          <w:tcPr>
            <w:tcW w:w="72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m/s</w:t>
            </w:r>
          </w:p>
        </w:tc>
        <w:tc>
          <w:tcPr>
            <w:tcW w:w="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125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godzin</w:t>
            </w:r>
          </w:p>
        </w:tc>
      </w:tr>
      <w:tr w:rsidR="004125F5">
        <w:tc>
          <w:tcPr>
            <w:tcW w:w="728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S1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Silos cementu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22,0 Z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0,1 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198,6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131,8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36</w:t>
            </w:r>
          </w:p>
        </w:tc>
      </w:tr>
      <w:tr w:rsidR="004125F5">
        <w:tc>
          <w:tcPr>
            <w:tcW w:w="72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Przejazd pojazdów ciężarowych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L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435,7 </w:t>
            </w:r>
          </w:p>
        </w:tc>
        <w:tc>
          <w:tcPr>
            <w:tcW w:w="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309  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93,2</w:t>
            </w:r>
          </w:p>
        </w:tc>
        <w:tc>
          <w:tcPr>
            <w:tcW w:w="112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8760</w:t>
            </w:r>
          </w:p>
        </w:tc>
      </w:tr>
      <w:tr w:rsidR="004125F5">
        <w:tc>
          <w:tcPr>
            <w:tcW w:w="72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S2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Silos cementu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22,0 Z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0,1  </w:t>
            </w:r>
          </w:p>
        </w:tc>
        <w:tc>
          <w:tcPr>
            <w:tcW w:w="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198,7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128,4</w:t>
            </w:r>
          </w:p>
        </w:tc>
        <w:tc>
          <w:tcPr>
            <w:tcW w:w="112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36</w:t>
            </w:r>
          </w:p>
        </w:tc>
      </w:tr>
      <w:tr w:rsidR="004125F5">
        <w:tc>
          <w:tcPr>
            <w:tcW w:w="72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S3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Silos cementu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22,0 Z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0,1  </w:t>
            </w:r>
          </w:p>
        </w:tc>
        <w:tc>
          <w:tcPr>
            <w:tcW w:w="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198,2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125  </w:t>
            </w:r>
          </w:p>
        </w:tc>
        <w:tc>
          <w:tcPr>
            <w:tcW w:w="112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36</w:t>
            </w:r>
          </w:p>
        </w:tc>
      </w:tr>
      <w:tr w:rsidR="004125F5">
        <w:tc>
          <w:tcPr>
            <w:tcW w:w="72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S1-i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Silos cementu istniejący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13,0 Z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0,1  </w:t>
            </w:r>
          </w:p>
        </w:tc>
        <w:tc>
          <w:tcPr>
            <w:tcW w:w="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279,6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80,9</w:t>
            </w:r>
          </w:p>
        </w:tc>
        <w:tc>
          <w:tcPr>
            <w:tcW w:w="112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36</w:t>
            </w:r>
          </w:p>
        </w:tc>
      </w:tr>
      <w:tr w:rsidR="004125F5">
        <w:tc>
          <w:tcPr>
            <w:tcW w:w="72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S2-i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Silos cementu istniejący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7,0 Z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0,1  </w:t>
            </w:r>
          </w:p>
        </w:tc>
        <w:tc>
          <w:tcPr>
            <w:tcW w:w="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278,8</w:t>
            </w:r>
          </w:p>
        </w:tc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72,9</w:t>
            </w:r>
          </w:p>
        </w:tc>
        <w:tc>
          <w:tcPr>
            <w:tcW w:w="112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36</w:t>
            </w:r>
          </w:p>
        </w:tc>
      </w:tr>
      <w:tr w:rsidR="004125F5">
        <w:tc>
          <w:tcPr>
            <w:tcW w:w="72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K1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Kocioł dotychczasowego biura</w:t>
            </w:r>
          </w:p>
        </w:tc>
        <w:tc>
          <w:tcPr>
            <w:tcW w:w="97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6,0 Z</w:t>
            </w:r>
          </w:p>
        </w:tc>
        <w:tc>
          <w:tcPr>
            <w:tcW w:w="1191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0,14x0,14</w:t>
            </w:r>
          </w:p>
        </w:tc>
        <w:tc>
          <w:tcPr>
            <w:tcW w:w="909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1,26</w:t>
            </w:r>
          </w:p>
        </w:tc>
        <w:tc>
          <w:tcPr>
            <w:tcW w:w="909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395</w:t>
            </w:r>
          </w:p>
        </w:tc>
        <w:tc>
          <w:tcPr>
            <w:tcW w:w="82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360,2</w:t>
            </w:r>
          </w:p>
        </w:tc>
        <w:tc>
          <w:tcPr>
            <w:tcW w:w="82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71,7</w:t>
            </w:r>
          </w:p>
        </w:tc>
        <w:tc>
          <w:tcPr>
            <w:tcW w:w="112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4125F5" w:rsidRDefault="00412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1800</w:t>
            </w:r>
          </w:p>
        </w:tc>
      </w:tr>
    </w:tbl>
    <w:p w:rsidR="004125F5" w:rsidRDefault="004125F5" w:rsidP="004125F5">
      <w:p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Legenda: P -powierzchniowy, L -liniowy, Z -zadaszony B -wylot boczny</w:t>
      </w:r>
    </w:p>
    <w:p w:rsidR="004125F5" w:rsidRDefault="004125F5" w:rsidP="00742806">
      <w:pPr>
        <w:spacing w:before="120" w:after="0" w:line="240" w:lineRule="auto"/>
        <w:jc w:val="center"/>
        <w:rPr>
          <w:color w:val="000000"/>
        </w:rPr>
      </w:pPr>
      <w:r>
        <w:rPr>
          <w:color w:val="000000"/>
        </w:rPr>
        <w:t>Emisja zanieczyszczeń do atmosfery</w:t>
      </w: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tbl>
      <w:tblPr>
        <w:tblW w:w="745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5"/>
        <w:gridCol w:w="2250"/>
        <w:gridCol w:w="1950"/>
        <w:gridCol w:w="1290"/>
        <w:gridCol w:w="1290"/>
      </w:tblGrid>
      <w:tr w:rsidR="004125F5" w:rsidTr="00300BAD">
        <w:trPr>
          <w:tblHeader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225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Nazwa emitora</w:t>
            </w:r>
          </w:p>
        </w:tc>
        <w:tc>
          <w:tcPr>
            <w:tcW w:w="195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Emisja maks.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Emisja średnia</w:t>
            </w:r>
          </w:p>
        </w:tc>
      </w:tr>
      <w:tr w:rsidR="004125F5" w:rsidTr="00300BAD">
        <w:trPr>
          <w:tblHeader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zanieczyszczenia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okres [mg/s]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okres [mg/s]</w:t>
            </w:r>
          </w:p>
        </w:tc>
      </w:tr>
      <w:tr w:rsidR="004125F5" w:rsidTr="00300BAD">
        <w:tc>
          <w:tcPr>
            <w:tcW w:w="67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S1</w:t>
            </w:r>
          </w:p>
        </w:tc>
        <w:tc>
          <w:tcPr>
            <w:tcW w:w="22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Silos cementu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1,861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0,00765</w:t>
            </w:r>
          </w:p>
        </w:tc>
      </w:tr>
      <w:tr w:rsidR="004125F5" w:rsidTr="00300BAD"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1,861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0,00765</w:t>
            </w:r>
          </w:p>
        </w:tc>
      </w:tr>
      <w:tr w:rsidR="004125F5" w:rsidTr="00300BAD"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S2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Silos cementu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1,861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0,00764</w:t>
            </w:r>
          </w:p>
        </w:tc>
      </w:tr>
      <w:tr w:rsidR="004125F5" w:rsidTr="00300BAD"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1,861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0,00764</w:t>
            </w:r>
          </w:p>
        </w:tc>
      </w:tr>
      <w:tr w:rsidR="004125F5" w:rsidTr="00300BAD"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S3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Silos cementu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1,861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0,00764</w:t>
            </w:r>
          </w:p>
        </w:tc>
      </w:tr>
      <w:tr w:rsidR="004125F5" w:rsidTr="00300BAD"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1,861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0,00764</w:t>
            </w:r>
          </w:p>
        </w:tc>
      </w:tr>
      <w:tr w:rsidR="004125F5" w:rsidTr="00300BAD"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S1-i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Silos cementu istniejący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1,861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0,00764</w:t>
            </w:r>
          </w:p>
        </w:tc>
      </w:tr>
      <w:tr w:rsidR="004125F5" w:rsidTr="00300BAD"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1,861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0,00764</w:t>
            </w:r>
          </w:p>
        </w:tc>
      </w:tr>
      <w:tr w:rsidR="004125F5" w:rsidTr="00300BAD"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S2-i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Silos cementu istniejący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1,861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0,00764</w:t>
            </w:r>
          </w:p>
        </w:tc>
      </w:tr>
      <w:tr w:rsidR="004125F5" w:rsidTr="00300BAD"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1,861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0,00764</w:t>
            </w:r>
          </w:p>
        </w:tc>
      </w:tr>
      <w:tr w:rsidR="004125F5" w:rsidTr="00300BAD"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K1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Kocioł dotychczasowego biura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27,95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4,31</w:t>
            </w:r>
          </w:p>
        </w:tc>
      </w:tr>
      <w:tr w:rsidR="004125F5" w:rsidTr="00300BAD"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16,82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2,592</w:t>
            </w:r>
          </w:p>
        </w:tc>
      </w:tr>
      <w:tr w:rsidR="004125F5" w:rsidTr="00300BAD"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3,85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0,594</w:t>
            </w:r>
          </w:p>
        </w:tc>
      </w:tr>
      <w:tr w:rsidR="004125F5" w:rsidTr="00300BAD"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25,99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4,01</w:t>
            </w:r>
          </w:p>
        </w:tc>
      </w:tr>
      <w:tr w:rsidR="004125F5" w:rsidTr="00300BAD"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Przejazd pojazdów ciężarowych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0,0524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0,0524</w:t>
            </w:r>
          </w:p>
        </w:tc>
      </w:tr>
      <w:tr w:rsidR="004125F5" w:rsidTr="00300BAD"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0,00424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0,00424</w:t>
            </w:r>
          </w:p>
        </w:tc>
      </w:tr>
      <w:tr w:rsidR="004125F5" w:rsidTr="00300BAD"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0,766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0,766</w:t>
            </w:r>
          </w:p>
        </w:tc>
      </w:tr>
      <w:tr w:rsidR="004125F5" w:rsidTr="00300BAD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0,0399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0,0399</w:t>
            </w:r>
          </w:p>
        </w:tc>
      </w:tr>
    </w:tbl>
    <w:p w:rsidR="00B74C23" w:rsidRDefault="00B74C23">
      <w:pPr>
        <w:rPr>
          <w:b/>
          <w:bCs/>
          <w:color w:val="000000"/>
        </w:rPr>
      </w:pPr>
    </w:p>
    <w:p w:rsidR="00A06031" w:rsidRDefault="00A06031" w:rsidP="00B74C23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Zestawienie wartości odniesienia i tła zanieczyszczenia atmosfery</w:t>
      </w:r>
    </w:p>
    <w:p w:rsidR="00A06031" w:rsidRDefault="00A06031" w:rsidP="00B74C23">
      <w:pPr>
        <w:spacing w:after="0" w:line="240" w:lineRule="auto"/>
        <w:rPr>
          <w:b/>
          <w:bCs/>
          <w:color w:val="000000"/>
        </w:rPr>
      </w:pPr>
    </w:p>
    <w:tbl>
      <w:tblPr>
        <w:tblW w:w="5000" w:type="pct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1"/>
        <w:gridCol w:w="2344"/>
        <w:gridCol w:w="1407"/>
        <w:gridCol w:w="1407"/>
        <w:gridCol w:w="1407"/>
      </w:tblGrid>
      <w:tr w:rsidR="00A06031">
        <w:tc>
          <w:tcPr>
            <w:tcW w:w="375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Substancja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CAS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D1, µg/m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Da, µg/m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R, µg/m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A06031">
        <w:tc>
          <w:tcPr>
            <w:tcW w:w="375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pył PM-10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</w:t>
            </w:r>
          </w:p>
        </w:tc>
      </w:tr>
      <w:tr w:rsidR="00A06031"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dwutlenek siarki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7446-09-5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</w:t>
            </w:r>
          </w:p>
        </w:tc>
      </w:tr>
      <w:tr w:rsidR="00A06031"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tlenki azotu jako NO2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10102-44-0,10102-43-9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</w:t>
            </w:r>
          </w:p>
        </w:tc>
      </w:tr>
      <w:tr w:rsidR="00A06031"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tlenek węgla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630-08-0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A06031"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amoniak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7664-41-7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A06031"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benzen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71-43-2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</w:t>
            </w:r>
          </w:p>
        </w:tc>
      </w:tr>
      <w:tr w:rsidR="00A06031"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węglowodory aromatyczne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4,3</w:t>
            </w:r>
          </w:p>
        </w:tc>
      </w:tr>
      <w:tr w:rsidR="00A06031"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węglowodory alifatyczne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A06031">
        <w:tc>
          <w:tcPr>
            <w:tcW w:w="375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pył zawieszony PM 2,5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</w:t>
            </w:r>
          </w:p>
        </w:tc>
      </w:tr>
    </w:tbl>
    <w:p w:rsidR="00A06031" w:rsidRDefault="00A06031" w:rsidP="00B74C23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A06031" w:rsidRDefault="00A06031" w:rsidP="00B74C23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A06031" w:rsidRDefault="00A06031" w:rsidP="00B74C23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  <w:sectPr w:rsidR="00A06031">
          <w:headerReference w:type="default" r:id="rId7"/>
          <w:footerReference w:type="default" r:id="rId8"/>
          <w:pgSz w:w="11907" w:h="16840"/>
          <w:pgMar w:top="851" w:right="567" w:bottom="567" w:left="1134" w:header="708" w:footer="708" w:gutter="0"/>
          <w:cols w:space="708"/>
          <w:noEndnote/>
        </w:sectPr>
      </w:pPr>
    </w:p>
    <w:p w:rsidR="00A06031" w:rsidRDefault="00A06031" w:rsidP="00B74C23">
      <w:pP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Klasyfikacja grupy emitorów</w:t>
      </w:r>
    </w:p>
    <w:p w:rsidR="00A06031" w:rsidRDefault="00A06031" w:rsidP="00B74C23">
      <w:pP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na podstawie sumy stężeń maksymalnych</w:t>
      </w:r>
    </w:p>
    <w:p w:rsidR="00A06031" w:rsidRDefault="00A06031" w:rsidP="00B74C23">
      <w:pPr>
        <w:spacing w:after="0" w:line="240" w:lineRule="auto"/>
        <w:rPr>
          <w:b/>
          <w:bCs/>
          <w:color w:val="000000"/>
        </w:rPr>
      </w:pPr>
    </w:p>
    <w:p w:rsidR="00A06031" w:rsidRDefault="00A06031" w:rsidP="00742806">
      <w:pPr>
        <w:spacing w:after="120" w:line="240" w:lineRule="auto"/>
        <w:rPr>
          <w:color w:val="000000"/>
        </w:rPr>
      </w:pPr>
      <w:r>
        <w:rPr>
          <w:color w:val="000000"/>
        </w:rPr>
        <w:t>Liczba emitorów podlegających klasyfikacji: 7</w:t>
      </w:r>
    </w:p>
    <w:tbl>
      <w:tblPr>
        <w:tblW w:w="10148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77"/>
        <w:gridCol w:w="1656"/>
        <w:gridCol w:w="1598"/>
        <w:gridCol w:w="1687"/>
        <w:gridCol w:w="2130"/>
      </w:tblGrid>
      <w:tr w:rsidR="00A06031">
        <w:tc>
          <w:tcPr>
            <w:tcW w:w="3077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Nazwa zanieczyszczenia</w:t>
            </w:r>
          </w:p>
        </w:tc>
        <w:tc>
          <w:tcPr>
            <w:tcW w:w="1656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Suma stężeń</w:t>
            </w:r>
          </w:p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max. [µg/m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]</w:t>
            </w:r>
          </w:p>
        </w:tc>
        <w:tc>
          <w:tcPr>
            <w:tcW w:w="1598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Stęż.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dopuszcz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D1 [µg/m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]</w:t>
            </w:r>
          </w:p>
        </w:tc>
        <w:tc>
          <w:tcPr>
            <w:tcW w:w="168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Obliczać stężenia w sieci receptorów</w:t>
            </w:r>
          </w:p>
        </w:tc>
        <w:tc>
          <w:tcPr>
            <w:tcW w:w="213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Ocena</w:t>
            </w:r>
          </w:p>
        </w:tc>
      </w:tr>
      <w:tr w:rsidR="00A06031">
        <w:tc>
          <w:tcPr>
            <w:tcW w:w="3077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Pr="004125F5" w:rsidRDefault="00A06031" w:rsidP="00B74C23">
            <w:pPr>
              <w:spacing w:after="0" w:line="240" w:lineRule="auto"/>
              <w:ind w:left="57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125F5">
              <w:rPr>
                <w:rFonts w:ascii="Arial" w:hAnsi="Arial" w:cs="Arial"/>
                <w:bCs/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Pr="004125F5" w:rsidRDefault="00A06031" w:rsidP="00B74C23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125F5">
              <w:rPr>
                <w:rFonts w:ascii="Arial" w:hAnsi="Arial" w:cs="Arial"/>
                <w:bCs/>
                <w:color w:val="000000"/>
                <w:sz w:val="18"/>
                <w:szCs w:val="18"/>
              </w:rPr>
              <w:t>460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Pr="004125F5" w:rsidRDefault="00A06031" w:rsidP="00B74C23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125F5"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Pr="004125F5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125F5">
              <w:rPr>
                <w:rFonts w:ascii="Arial" w:hAnsi="Arial" w:cs="Arial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Pr="004125F5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4125F5">
              <w:rPr>
                <w:rFonts w:ascii="Arial" w:hAnsi="Arial" w:cs="Arial"/>
                <w:bCs/>
                <w:color w:val="000000"/>
                <w:sz w:val="18"/>
                <w:szCs w:val="18"/>
              </w:rPr>
              <w:t>Smm</w:t>
            </w:r>
            <w:proofErr w:type="spellEnd"/>
            <w:r w:rsidRPr="004125F5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&gt; D1</w:t>
            </w:r>
          </w:p>
        </w:tc>
      </w:tr>
      <w:tr w:rsidR="00A06031"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Pr="004125F5" w:rsidRDefault="00A06031" w:rsidP="00B74C23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125F5">
              <w:rPr>
                <w:rFonts w:ascii="Arial" w:hAnsi="Arial" w:cs="Arial"/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Pr="004125F5" w:rsidRDefault="00A06031" w:rsidP="00B74C23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125F5">
              <w:rPr>
                <w:rFonts w:ascii="Arial" w:hAnsi="Arial" w:cs="Arial"/>
                <w:color w:val="000000"/>
                <w:sz w:val="18"/>
                <w:szCs w:val="18"/>
              </w:rPr>
              <w:t>187,4</w:t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Pr="004125F5" w:rsidRDefault="00A06031" w:rsidP="00B74C23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125F5">
              <w:rPr>
                <w:rFonts w:ascii="Arial" w:hAnsi="Arial" w:cs="Arial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Pr="004125F5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125F5">
              <w:rPr>
                <w:rFonts w:ascii="Arial" w:hAnsi="Arial" w:cs="Arial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Pr="004125F5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125F5">
              <w:rPr>
                <w:rFonts w:ascii="Arial" w:hAnsi="Arial" w:cs="Arial"/>
                <w:color w:val="000000"/>
                <w:sz w:val="18"/>
                <w:szCs w:val="18"/>
              </w:rPr>
              <w:t xml:space="preserve">0.1*D1&lt; </w:t>
            </w:r>
            <w:proofErr w:type="spellStart"/>
            <w:r w:rsidRPr="004125F5"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 w:rsidRPr="004125F5">
              <w:rPr>
                <w:rFonts w:ascii="Arial" w:hAnsi="Arial" w:cs="Arial"/>
                <w:color w:val="000000"/>
                <w:sz w:val="18"/>
                <w:szCs w:val="18"/>
              </w:rPr>
              <w:t xml:space="preserve"> &lt;D1</w:t>
            </w:r>
          </w:p>
        </w:tc>
      </w:tr>
      <w:tr w:rsidR="00A06031"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Pr="004125F5" w:rsidRDefault="00A06031" w:rsidP="00B74C23">
            <w:pPr>
              <w:spacing w:after="0" w:line="240" w:lineRule="auto"/>
              <w:ind w:left="57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125F5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Pr="004125F5" w:rsidRDefault="00A06031" w:rsidP="00B74C23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125F5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10098</w:t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Pr="004125F5" w:rsidRDefault="00A06031" w:rsidP="00B74C23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125F5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Pr="004125F5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125F5">
              <w:rPr>
                <w:rFonts w:ascii="Arial" w:hAnsi="Arial" w:cs="Arial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Pr="004125F5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4125F5">
              <w:rPr>
                <w:rFonts w:ascii="Arial" w:hAnsi="Arial" w:cs="Arial"/>
                <w:bCs/>
                <w:color w:val="000000"/>
                <w:sz w:val="18"/>
                <w:szCs w:val="18"/>
              </w:rPr>
              <w:t>Smm</w:t>
            </w:r>
            <w:proofErr w:type="spellEnd"/>
            <w:r w:rsidRPr="004125F5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&gt; D1</w:t>
            </w:r>
          </w:p>
        </w:tc>
      </w:tr>
      <w:tr w:rsidR="00A06031"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tlenek węgla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30000</w:t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&lt; 0.1*D1</w:t>
            </w:r>
          </w:p>
        </w:tc>
      </w:tr>
      <w:tr w:rsidR="00A06031"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amoniak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9,25</w:t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&lt; 0.1*D1</w:t>
            </w:r>
          </w:p>
        </w:tc>
      </w:tr>
      <w:tr w:rsidR="00A06031"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benzen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0,2092</w:t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&lt; 0.1*D1</w:t>
            </w:r>
          </w:p>
        </w:tc>
      </w:tr>
      <w:tr w:rsidR="00A06031"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węglowodory aromatyczne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75,3</w:t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&lt; 0.1*D1</w:t>
            </w:r>
          </w:p>
        </w:tc>
      </w:tr>
      <w:tr w:rsidR="00A06031"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węglowodory alifatyczne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141,0</w:t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&lt; 0.1*D1</w:t>
            </w:r>
          </w:p>
        </w:tc>
      </w:tr>
      <w:tr w:rsidR="004125F5">
        <w:tc>
          <w:tcPr>
            <w:tcW w:w="3077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B74C23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656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B74C23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</w:t>
            </w: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B74C23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68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1E125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4125F5" w:rsidRDefault="004125F5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bez oceny - brak D1</w:t>
            </w:r>
          </w:p>
        </w:tc>
      </w:tr>
    </w:tbl>
    <w:p w:rsidR="00A06031" w:rsidRDefault="00A06031" w:rsidP="00B74C23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A06031" w:rsidRDefault="00A06031" w:rsidP="00B74C23">
      <w:pPr>
        <w:spacing w:after="0" w:line="240" w:lineRule="auto"/>
        <w:jc w:val="center"/>
        <w:rPr>
          <w:b/>
          <w:bCs/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b/>
          <w:bCs/>
          <w:color w:val="000000"/>
        </w:rPr>
        <w:t>Ustalenie zakresu obliczeń</w:t>
      </w:r>
    </w:p>
    <w:p w:rsidR="00A06031" w:rsidRDefault="00A06031" w:rsidP="00B74C23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A06031" w:rsidRDefault="00A06031" w:rsidP="00742806">
      <w:pPr>
        <w:spacing w:after="12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Liczba emitorów podlegających klasyfikacji: 7</w:t>
      </w:r>
    </w:p>
    <w:tbl>
      <w:tblPr>
        <w:tblW w:w="8400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00"/>
        <w:gridCol w:w="4200"/>
      </w:tblGrid>
      <w:tr w:rsidR="00A06031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Zakres pełny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Zakres skrócony</w:t>
            </w:r>
          </w:p>
        </w:tc>
      </w:tr>
      <w:tr w:rsidR="00A06031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pył PM-10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tlenek węgla</w:t>
            </w:r>
          </w:p>
        </w:tc>
      </w:tr>
      <w:tr w:rsidR="00A06031"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tlenki azotu jako NO2</w:t>
            </w: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amoniak</w:t>
            </w:r>
          </w:p>
        </w:tc>
      </w:tr>
      <w:tr w:rsidR="00A06031"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dwutlenek siarki</w:t>
            </w: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węglowodory alifatyczne</w:t>
            </w:r>
          </w:p>
        </w:tc>
      </w:tr>
      <w:tr w:rsidR="00A06031"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węglowodory aromatyczne</w:t>
            </w:r>
          </w:p>
        </w:tc>
      </w:tr>
      <w:tr w:rsidR="00A06031"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benzen</w:t>
            </w:r>
          </w:p>
        </w:tc>
      </w:tr>
    </w:tbl>
    <w:p w:rsidR="00A06031" w:rsidRDefault="00A06031" w:rsidP="00B74C23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A06031" w:rsidRDefault="00A06031" w:rsidP="00B74C23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Kryterium obliczania opadu pyłu</w:t>
      </w:r>
    </w:p>
    <w:p w:rsidR="00A06031" w:rsidRDefault="00A06031" w:rsidP="00B74C23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Analizowano emisję pyłu z 6 emitorów.</w:t>
      </w:r>
    </w:p>
    <w:p w:rsidR="00A06031" w:rsidRDefault="00A06031" w:rsidP="00B74C23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0,0667/n*</w:t>
      </w:r>
      <w:r>
        <w:rPr>
          <w:rFonts w:ascii="Symbol" w:hAnsi="Symbol" w:cs="Symbol"/>
          <w:color w:val="000000"/>
          <w:sz w:val="20"/>
          <w:szCs w:val="20"/>
        </w:rPr>
        <w:t></w:t>
      </w:r>
      <w:r>
        <w:rPr>
          <w:rFonts w:ascii="Arial" w:hAnsi="Arial" w:cs="Arial"/>
          <w:color w:val="000000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3,15</w:t>
      </w:r>
      <w:r>
        <w:rPr>
          <w:rFonts w:ascii="Arial" w:hAnsi="Arial" w:cs="Arial"/>
          <w:color w:val="000000"/>
          <w:sz w:val="20"/>
          <w:szCs w:val="20"/>
        </w:rPr>
        <w:t xml:space="preserve"> =    609</w:t>
      </w:r>
    </w:p>
    <w:p w:rsidR="00A06031" w:rsidRDefault="00A06031" w:rsidP="00B74C2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Suma emisji średniorocznej pyłu =  4,4  &lt; 609  [mg/s]</w:t>
      </w:r>
    </w:p>
    <w:p w:rsidR="00A06031" w:rsidRDefault="00A06031" w:rsidP="00B74C2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Łączna emisja roczna  =  0,137  &lt; 10 000  [Mg]</w:t>
      </w:r>
    </w:p>
    <w:p w:rsidR="00A06031" w:rsidRDefault="00A06031" w:rsidP="00B74C23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Nie potrzeba obliczać opadu pyłu.</w:t>
      </w:r>
    </w:p>
    <w:p w:rsidR="00A06031" w:rsidRDefault="00A06031" w:rsidP="00B74C23">
      <w:pPr>
        <w:spacing w:after="0" w:line="240" w:lineRule="auto"/>
        <w:rPr>
          <w:b/>
          <w:bCs/>
          <w:color w:val="000000"/>
        </w:rPr>
      </w:pPr>
    </w:p>
    <w:p w:rsidR="00A06031" w:rsidRDefault="00A06031" w:rsidP="00B74C23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Obliczenie odległości, w której trzeba uwzględniać obszary ochrony uzdrowiskowej  (30x</w:t>
      </w:r>
      <w:r>
        <w:rPr>
          <w:b/>
          <w:bCs/>
          <w:color w:val="000000"/>
          <w:vertAlign w:val="subscript"/>
        </w:rPr>
        <w:t>mm</w:t>
      </w:r>
      <w:r>
        <w:rPr>
          <w:b/>
          <w:bCs/>
          <w:color w:val="000000"/>
        </w:rPr>
        <w:t>)</w:t>
      </w:r>
    </w:p>
    <w:p w:rsidR="00A06031" w:rsidRDefault="00A06031" w:rsidP="00B74C23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A06031" w:rsidRDefault="00A06031" w:rsidP="00B74C23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Maksymalna odległość występowania maksymalnych stężeń  max(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x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mm</w:t>
      </w:r>
      <w:proofErr w:type="spellEnd"/>
      <w:r>
        <w:rPr>
          <w:rFonts w:ascii="Arial" w:hAnsi="Arial" w:cs="Arial"/>
          <w:color w:val="000000"/>
          <w:sz w:val="20"/>
          <w:szCs w:val="20"/>
        </w:rPr>
        <w:t>) =     69,0 [m]</w:t>
      </w:r>
    </w:p>
    <w:p w:rsidR="00A06031" w:rsidRDefault="00A06031" w:rsidP="00B74C23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Emitor: Silos cementu</w:t>
      </w:r>
    </w:p>
    <w:p w:rsidR="00A06031" w:rsidRDefault="00A06031" w:rsidP="00B74C23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Należy analizować obszar o promieniu 2070 m od emitora pod kątem występowania zaostrzonych wartości odniesienia.</w:t>
      </w:r>
    </w:p>
    <w:p w:rsidR="00A06031" w:rsidRDefault="00A06031" w:rsidP="00B74C23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A06031" w:rsidRDefault="00A06031" w:rsidP="004125F5">
      <w:pPr>
        <w:spacing w:after="0" w:line="240" w:lineRule="auto"/>
        <w:jc w:val="center"/>
        <w:rPr>
          <w:rFonts w:ascii="Lucida Console" w:hAnsi="Lucida Console" w:cs="Lucida Console"/>
          <w:color w:val="000000"/>
          <w:sz w:val="16"/>
          <w:szCs w:val="16"/>
        </w:rPr>
      </w:pPr>
    </w:p>
    <w:p w:rsidR="00A06031" w:rsidRDefault="00A06031" w:rsidP="00B74C23">
      <w:pPr>
        <w:spacing w:after="0" w:line="240" w:lineRule="auto"/>
        <w:jc w:val="center"/>
        <w:rPr>
          <w:color w:val="000000"/>
        </w:rPr>
      </w:pPr>
      <w:r>
        <w:rPr>
          <w:color w:val="000000"/>
        </w:rPr>
        <w:t>Współrzędne emitorów liniowych</w:t>
      </w:r>
    </w:p>
    <w:p w:rsidR="00A06031" w:rsidRDefault="00A06031" w:rsidP="00B74C23">
      <w:pPr>
        <w:spacing w:after="0" w:line="240" w:lineRule="auto"/>
        <w:rPr>
          <w:color w:val="000000"/>
          <w:sz w:val="20"/>
          <w:szCs w:val="20"/>
        </w:rPr>
      </w:pPr>
    </w:p>
    <w:p w:rsidR="00A06031" w:rsidRDefault="00A06031" w:rsidP="00742806">
      <w:pPr>
        <w:spacing w:after="12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Emitor liniowy: L Przejazd pojazdów ciężarowych    metodyka modelowania: CALINE3</w:t>
      </w:r>
    </w:p>
    <w:tbl>
      <w:tblPr>
        <w:tblW w:w="966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5"/>
        <w:gridCol w:w="675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A06031"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Typ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Szerokość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Natęż.</w:t>
            </w:r>
          </w:p>
        </w:tc>
      </w:tr>
      <w:tr w:rsidR="00A06031"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odcin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mieszania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ruchu</w:t>
            </w:r>
          </w:p>
        </w:tc>
      </w:tr>
      <w:tr w:rsidR="00A06031"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poj./h</w:t>
            </w:r>
          </w:p>
        </w:tc>
      </w:tr>
      <w:tr w:rsidR="00A06031">
        <w:tc>
          <w:tcPr>
            <w:tcW w:w="70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396,5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213,1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76,2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185,0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A06031"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213,1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214,9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129,9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A06031"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214,9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129,9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411,3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114,7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197,0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</w:tbl>
    <w:p w:rsidR="00A06031" w:rsidRDefault="00A06031" w:rsidP="00B74C23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Długość emitora = 435,7 m.  wysokość mieszania  = 1000 m.</w:t>
      </w:r>
    </w:p>
    <w:p w:rsidR="00A06031" w:rsidRDefault="00A06031" w:rsidP="00B74C23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A06031" w:rsidRDefault="00A06031" w:rsidP="00B74C23">
      <w:pPr>
        <w:spacing w:after="0" w:line="240" w:lineRule="auto"/>
        <w:jc w:val="center"/>
        <w:rPr>
          <w:color w:val="000000"/>
        </w:rPr>
      </w:pPr>
      <w:r>
        <w:rPr>
          <w:color w:val="000000"/>
        </w:rPr>
        <w:t>Dane meteorologiczne</w:t>
      </w:r>
    </w:p>
    <w:p w:rsidR="00A06031" w:rsidRDefault="00A06031" w:rsidP="00742806">
      <w:pPr>
        <w:spacing w:after="12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Róża wiatrów ze stacji meteorologicznej: Koło, wysokość anemometru  14   m.      </w:t>
      </w:r>
    </w:p>
    <w:tbl>
      <w:tblPr>
        <w:tblW w:w="690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25"/>
        <w:gridCol w:w="1725"/>
        <w:gridCol w:w="1725"/>
        <w:gridCol w:w="1725"/>
      </w:tblGrid>
      <w:tr w:rsidR="00A06031"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rok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okres grzewczy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okres letni</w:t>
            </w:r>
          </w:p>
        </w:tc>
      </w:tr>
      <w:tr w:rsidR="00A06031">
        <w:tc>
          <w:tcPr>
            <w:tcW w:w="172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Temperatura [K]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281,1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06031" w:rsidRDefault="00A06031" w:rsidP="00B74C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287,2</w:t>
            </w:r>
          </w:p>
        </w:tc>
      </w:tr>
    </w:tbl>
    <w:p w:rsidR="00A06031" w:rsidRDefault="00A06031" w:rsidP="00B74C23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A06031" w:rsidRDefault="00A06031" w:rsidP="00B74C23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Szorstkość terenu = 0,5 m.</w:t>
      </w:r>
    </w:p>
    <w:p w:rsidR="00A06031" w:rsidRDefault="00742806" w:rsidP="00B74C23">
      <w:pPr>
        <w:spacing w:after="0" w:line="240" w:lineRule="auto"/>
        <w:rPr>
          <w:rFonts w:ascii="Arial" w:hAnsi="Arial" w:cs="Arial"/>
          <w:color w:val="000000"/>
        </w:rPr>
      </w:pPr>
      <w:bookmarkStart w:id="0" w:name="_GoBack"/>
      <w:bookmarkEnd w:id="0"/>
      <w:r w:rsidRPr="00960839">
        <w:rPr>
          <w:rFonts w:ascii="Arial" w:hAnsi="Arial" w:cs="Arial"/>
          <w:color w:val="000000"/>
        </w:rPr>
        <w:lastRenderedPageBreak/>
        <w:pict>
          <v:shape id="_x0000_i1026" type="#_x0000_t75" style="width:482.25pt;height:317.2pt">
            <v:imagedata r:id="rId9" o:title=""/>
          </v:shape>
        </w:pict>
      </w:r>
      <w:r w:rsidRPr="00960839">
        <w:rPr>
          <w:rFonts w:ascii="Arial" w:hAnsi="Arial" w:cs="Arial"/>
          <w:color w:val="000000"/>
        </w:rPr>
        <w:pict>
          <v:shape id="_x0000_i1027" type="#_x0000_t75" style="width:482.25pt;height:317.2pt">
            <v:imagedata r:id="rId10" o:title=""/>
          </v:shape>
        </w:pict>
      </w:r>
      <w:r w:rsidRPr="00960839">
        <w:rPr>
          <w:rFonts w:ascii="Arial" w:hAnsi="Arial" w:cs="Arial"/>
          <w:color w:val="000000"/>
        </w:rPr>
        <w:lastRenderedPageBreak/>
        <w:pict>
          <v:shape id="_x0000_i1028" type="#_x0000_t75" style="width:482.25pt;height:317.2pt">
            <v:imagedata r:id="rId11" o:title=""/>
          </v:shape>
        </w:pict>
      </w:r>
      <w:r w:rsidRPr="00960839">
        <w:rPr>
          <w:rFonts w:ascii="Arial" w:hAnsi="Arial" w:cs="Arial"/>
          <w:color w:val="000000"/>
        </w:rPr>
        <w:pict>
          <v:shape id="_x0000_i1029" type="#_x0000_t75" style="width:482.25pt;height:317.2pt">
            <v:imagedata r:id="rId12" o:title=""/>
          </v:shape>
        </w:pict>
      </w:r>
      <w:r w:rsidRPr="00960839">
        <w:rPr>
          <w:rFonts w:ascii="Arial" w:hAnsi="Arial" w:cs="Arial"/>
          <w:color w:val="000000"/>
        </w:rPr>
        <w:lastRenderedPageBreak/>
        <w:pict>
          <v:shape id="_x0000_i1030" type="#_x0000_t75" style="width:482.25pt;height:317.2pt">
            <v:imagedata r:id="rId13" o:title=""/>
          </v:shape>
        </w:pict>
      </w:r>
      <w:r w:rsidRPr="00960839">
        <w:rPr>
          <w:rFonts w:ascii="Arial" w:hAnsi="Arial" w:cs="Arial"/>
          <w:color w:val="000000"/>
        </w:rPr>
        <w:pict>
          <v:shape id="_x0000_i1031" type="#_x0000_t75" style="width:482.25pt;height:317.2pt">
            <v:imagedata r:id="rId14" o:title=""/>
          </v:shape>
        </w:pict>
      </w:r>
      <w:r w:rsidRPr="00960839">
        <w:rPr>
          <w:rFonts w:ascii="Arial" w:hAnsi="Arial" w:cs="Arial"/>
          <w:color w:val="000000"/>
        </w:rPr>
        <w:lastRenderedPageBreak/>
        <w:pict>
          <v:shape id="_x0000_i1032" type="#_x0000_t75" style="width:482.25pt;height:296.15pt">
            <v:imagedata r:id="rId15" o:title=""/>
          </v:shape>
        </w:pict>
      </w:r>
      <w:r w:rsidRPr="00960839">
        <w:rPr>
          <w:rFonts w:ascii="Arial" w:hAnsi="Arial" w:cs="Arial"/>
          <w:color w:val="000000"/>
        </w:rPr>
        <w:pict>
          <v:shape id="_x0000_i1033" type="#_x0000_t75" style="width:482.25pt;height:317.2pt">
            <v:imagedata r:id="rId16" o:title=""/>
          </v:shape>
        </w:pict>
      </w:r>
    </w:p>
    <w:p w:rsidR="004125F5" w:rsidRDefault="004125F5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br w:type="page"/>
      </w:r>
    </w:p>
    <w:p w:rsidR="004125F5" w:rsidRDefault="004125F5" w:rsidP="004125F5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Zestawienie maksymalnych wartości stężeń w sieci receptorów</w:t>
      </w:r>
    </w:p>
    <w:p w:rsidR="004125F5" w:rsidRDefault="004125F5" w:rsidP="004125F5">
      <w:p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tbl>
      <w:tblPr>
        <w:tblW w:w="960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4125F5" w:rsidTr="00300BAD"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zanieczyszczenia</w:t>
            </w:r>
          </w:p>
        </w:tc>
        <w:tc>
          <w:tcPr>
            <w:tcW w:w="960" w:type="dxa"/>
            <w:gridSpan w:val="4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Maksym. częstość przekroczeń D1, %</w:t>
            </w:r>
          </w:p>
        </w:tc>
        <w:tc>
          <w:tcPr>
            <w:tcW w:w="960" w:type="dxa"/>
            <w:gridSpan w:val="4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Maksymalne stężenie średnioroczne, µg/m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3</w:t>
            </w:r>
          </w:p>
        </w:tc>
      </w:tr>
      <w:tr w:rsidR="004125F5" w:rsidTr="00300BAD"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X,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Y,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Obliczona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Dopuszcz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X,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Y,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Obliczone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 - R</w:t>
            </w:r>
          </w:p>
        </w:tc>
      </w:tr>
      <w:tr w:rsidR="004125F5" w:rsidTr="00300BAD"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PM-10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&lt;  0,2 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400 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60 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0,452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&lt; 15,5</w:t>
            </w:r>
          </w:p>
        </w:tc>
      </w:tr>
      <w:tr w:rsidR="004125F5" w:rsidTr="00300BAD"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dwutlenek siarki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&lt;  0,274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400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60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0,539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&lt; 4,8</w:t>
            </w:r>
          </w:p>
        </w:tc>
      </w:tr>
      <w:tr w:rsidR="004125F5" w:rsidTr="00300BAD"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 jako NO2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&lt;  0,2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400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60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0,182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&lt; 27,3</w:t>
            </w:r>
          </w:p>
        </w:tc>
      </w:tr>
      <w:tr w:rsidR="004125F5" w:rsidTr="00300BAD"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zawieszony PM 2,5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400  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60  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0,420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4125F5" w:rsidRDefault="004125F5" w:rsidP="00300BAD">
            <w:pPr>
              <w:autoSpaceDE w:val="0"/>
              <w:autoSpaceDN w:val="0"/>
              <w:adjustRightInd w:val="0"/>
              <w:spacing w:after="0"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&lt; 5,9</w:t>
            </w:r>
          </w:p>
        </w:tc>
      </w:tr>
    </w:tbl>
    <w:p w:rsidR="004125F5" w:rsidRDefault="004125F5" w:rsidP="004125F5">
      <w:pPr>
        <w:autoSpaceDE w:val="0"/>
        <w:autoSpaceDN w:val="0"/>
        <w:adjustRightInd w:val="0"/>
        <w:spacing w:after="0" w:line="312" w:lineRule="auto"/>
        <w:rPr>
          <w:rFonts w:ascii="Arial" w:hAnsi="Arial" w:cs="Arial"/>
          <w:color w:val="000000"/>
          <w:sz w:val="16"/>
          <w:szCs w:val="16"/>
        </w:rPr>
      </w:pP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4125F5" w:rsidRDefault="004125F5" w:rsidP="004125F5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Zestawienie maksymalnych wartości stężeń pyłu PM-10 w sieci receptorów</w:t>
      </w:r>
    </w:p>
    <w:p w:rsidR="004125F5" w:rsidRDefault="004125F5" w:rsidP="004125F5">
      <w:pP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tbl>
      <w:tblPr>
        <w:tblW w:w="892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</w:tblGrid>
      <w:tr w:rsidR="004125F5" w:rsidTr="00300BAD"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4125F5" w:rsidTr="00300BAD"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87,1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0,452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WNW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D1= 280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jednogodzinnych pyłu PM-10 występuje w punkcie o współrzędnych X = 360 Y = 40 m  i wynosi 87,1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Nie stwierdzono żadnych przekroczeń stężeń jednogodzinnych. Częstość przekroczeń= 0 %.</w:t>
      </w: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średniorocznych występuje w punkcie o współrzędnych X = 400 Y = 60 m , wynosi 0,452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15,5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4125F5" w:rsidRDefault="004125F5" w:rsidP="004125F5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</w:p>
    <w:p w:rsidR="00742806" w:rsidRDefault="00742806" w:rsidP="004125F5">
      <w:pPr>
        <w:spacing w:after="0" w:line="240" w:lineRule="auto"/>
        <w:jc w:val="center"/>
        <w:rPr>
          <w:color w:val="000000"/>
        </w:rPr>
      </w:pPr>
    </w:p>
    <w:p w:rsidR="004125F5" w:rsidRDefault="004125F5" w:rsidP="004125F5">
      <w:pPr>
        <w:spacing w:after="0" w:line="240" w:lineRule="auto"/>
        <w:jc w:val="center"/>
        <w:rPr>
          <w:color w:val="000000"/>
        </w:rPr>
      </w:pPr>
      <w:r>
        <w:rPr>
          <w:color w:val="000000"/>
        </w:rPr>
        <w:t>Zestawienie maksymalnych wartości stężeń w siatce dodatkowej</w:t>
      </w:r>
    </w:p>
    <w:p w:rsidR="004125F5" w:rsidRDefault="004125F5" w:rsidP="004125F5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</w:p>
    <w:tbl>
      <w:tblPr>
        <w:tblW w:w="969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  <w:gridCol w:w="765"/>
      </w:tblGrid>
      <w:tr w:rsidR="004125F5" w:rsidTr="00300BAD"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4125F5" w:rsidTr="00300BAD"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384,2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368,9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SSW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2,515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368,9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84,9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SSW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D1= 280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0,07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368,9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84,9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SSW</w:t>
            </w:r>
          </w:p>
        </w:tc>
      </w:tr>
    </w:tbl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jednogodzinnych pyłu PM-10 występuje w punkcie o współrzędnych X = 368,9 Y = 84,9 m  i wynosi 384,2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częstość przekroczeń dla stężeń jednogodzinnych  występuje w punkcie: "zabudowa", na wysokości 5 m , wynosi 0,07 %  i nie przekracza dopuszczalnej  0,2 %.</w:t>
      </w: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średniorocznych występuje w punkcie o współrzędnych X = 368,9 Y = 84,9 m , wynosi 2,515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15,5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125F5" w:rsidRDefault="004125F5" w:rsidP="004125F5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Zestawienie maksymalnych wartości stężeń dwutlenku siarki w sieci receptorów</w:t>
      </w:r>
    </w:p>
    <w:p w:rsidR="004125F5" w:rsidRDefault="004125F5" w:rsidP="004125F5">
      <w:pP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tbl>
      <w:tblPr>
        <w:tblW w:w="892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</w:tblGrid>
      <w:tr w:rsidR="004125F5" w:rsidTr="00300BAD"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4125F5" w:rsidTr="00300BAD"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104,8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0,539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WNW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D1= 350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jednogodzinnych dwutlenku siarki występuje w punkcie o współrzędnych X = 360 Y = 40 m  i wynosi 104,8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Nie stwierdzono żadnych przekroczeń stężeń jednogodzinnych. Częstość przekroczeń= 0 %.</w:t>
      </w: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średniorocznych występuje w punkcie o współrzędnych X = 400 Y = 60 m , wynosi 0,539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4,8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4125F5" w:rsidRDefault="004125F5" w:rsidP="004125F5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</w:p>
    <w:p w:rsidR="004125F5" w:rsidRDefault="004125F5" w:rsidP="004125F5">
      <w:pPr>
        <w:spacing w:after="0" w:line="240" w:lineRule="auto"/>
        <w:jc w:val="center"/>
        <w:rPr>
          <w:color w:val="000000"/>
        </w:rPr>
      </w:pPr>
      <w:r>
        <w:rPr>
          <w:color w:val="000000"/>
        </w:rPr>
        <w:t>Zestawienie maksymalnych wartości stężeń w siatce dodatkowej</w:t>
      </w:r>
    </w:p>
    <w:p w:rsidR="004125F5" w:rsidRDefault="004125F5" w:rsidP="004125F5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</w:p>
    <w:tbl>
      <w:tblPr>
        <w:tblW w:w="969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  <w:gridCol w:w="765"/>
      </w:tblGrid>
      <w:tr w:rsidR="004125F5" w:rsidTr="00300BAD"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4125F5" w:rsidTr="00300BAD"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234,1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368,9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SSW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1,538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368,9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84,9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SSW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D1= 350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jednogodzinnych dwutlenku siarki występuje w punkcie o współrzędnych X = 368,9 Y = 84,9 m  i wynosi 234,1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Nie stwierdzono żadnych przekroczeń stężeń jednogodzinnych. Częstość przekroczeń= 0 %.</w:t>
      </w: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średniorocznych występuje w punkcie o współrzędnych X = 368,9 Y = 84,9 m , wynosi 1,538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4,8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125F5" w:rsidRDefault="004125F5" w:rsidP="004125F5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Zestawienie maksymalnych wartości stężeń tlenków azotu w sieci receptorów</w:t>
      </w:r>
    </w:p>
    <w:p w:rsidR="004125F5" w:rsidRDefault="004125F5" w:rsidP="004125F5">
      <w:pP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tbl>
      <w:tblPr>
        <w:tblW w:w="892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</w:tblGrid>
      <w:tr w:rsidR="004125F5" w:rsidTr="00300BAD"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4125F5" w:rsidTr="00300BAD"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24,5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0,182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WNW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D1= 200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jednogodzinnych tlenków azotu występuje w punkcie o współrzędnych X = 360 Y = 40 m  i wynosi 24,5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Nie stwierdzono żadnych przekroczeń stężeń jednogodzinnych. Częstość przekroczeń= 0 %.</w:t>
      </w: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średniorocznych występuje w punkcie o współrzędnych X = 400 Y = 60 m , wynosi 0,182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27,3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4125F5" w:rsidRDefault="004125F5" w:rsidP="004125F5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</w:p>
    <w:p w:rsidR="004125F5" w:rsidRDefault="004125F5" w:rsidP="004125F5">
      <w:pPr>
        <w:spacing w:after="0" w:line="240" w:lineRule="auto"/>
        <w:jc w:val="center"/>
        <w:rPr>
          <w:color w:val="000000"/>
        </w:rPr>
      </w:pPr>
      <w:r>
        <w:rPr>
          <w:color w:val="000000"/>
        </w:rPr>
        <w:t>Zestawienie maksymalnych wartości stężeń w siatce dodatkowej</w:t>
      </w:r>
    </w:p>
    <w:p w:rsidR="004125F5" w:rsidRDefault="004125F5" w:rsidP="004125F5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</w:p>
    <w:tbl>
      <w:tblPr>
        <w:tblW w:w="969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  <w:gridCol w:w="765"/>
      </w:tblGrid>
      <w:tr w:rsidR="004125F5" w:rsidTr="00300BAD"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4125F5" w:rsidTr="00300BAD"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53,8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368,9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SSW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0,408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368,9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84,9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SSW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D1= 200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jednogodzinnych tlenków azotu występuje w punkcie o współrzędnych X = 368,9 Y = 84,9 m  i wynosi 53,8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Nie stwierdzono żadnych przekroczeń stężeń jednogodzinnych. Częstość przekroczeń= 0 %.</w:t>
      </w: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średniorocznych występuje w punkcie o współrzędnych X = 368,9 Y = 84,9 m , wynosi 0,408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27,3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125F5" w:rsidRDefault="004125F5" w:rsidP="004125F5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Zestawienie maksymalnych wartości stężeń pyłu zawieszonego PM 2,5 w sieci receptorów</w:t>
      </w:r>
    </w:p>
    <w:p w:rsidR="004125F5" w:rsidRDefault="004125F5" w:rsidP="004125F5">
      <w:pP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tbl>
      <w:tblPr>
        <w:tblW w:w="892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</w:tblGrid>
      <w:tr w:rsidR="004125F5" w:rsidTr="00300BAD"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4125F5" w:rsidTr="00300BAD"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81,0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0,420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WNW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- nie dotyczy , brak D1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jednogodzinnych pyłu zawieszonego PM 2,5 występuje w punkcie o współrzędnych X = 360 Y = 40 m  i wynosi 81,0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średniorocznych występuje w punkcie o współrzędnych X = 400 Y = 60 m , wynosi 0,420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5,9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4125F5" w:rsidRDefault="004125F5" w:rsidP="004125F5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</w:p>
    <w:p w:rsidR="004125F5" w:rsidRDefault="004125F5" w:rsidP="004125F5">
      <w:pPr>
        <w:spacing w:after="0" w:line="240" w:lineRule="auto"/>
        <w:jc w:val="center"/>
        <w:rPr>
          <w:color w:val="000000"/>
        </w:rPr>
      </w:pPr>
      <w:r>
        <w:rPr>
          <w:color w:val="000000"/>
        </w:rPr>
        <w:t>Zestawienie maksymalnych wartości stężeń w siatce dodatkowej</w:t>
      </w:r>
    </w:p>
    <w:p w:rsidR="004125F5" w:rsidRDefault="004125F5" w:rsidP="004125F5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</w:p>
    <w:tbl>
      <w:tblPr>
        <w:tblW w:w="969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  <w:gridCol w:w="765"/>
      </w:tblGrid>
      <w:tr w:rsidR="004125F5" w:rsidTr="00300BAD"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4125F5" w:rsidTr="00300BAD"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357,2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368,9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SSW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2,338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368,9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84,9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SSW</w:t>
            </w:r>
          </w:p>
        </w:tc>
      </w:tr>
      <w:tr w:rsidR="004125F5" w:rsidTr="00300BAD"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- nie dotyczy , brak D1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4125F5" w:rsidRDefault="004125F5" w:rsidP="00300B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jednogodzinnych pyłu zawieszonego PM 2,5 występuje w punkcie o współrzędnych X = 368,9 Y = 84,9 m  i wynosi 357,2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125F5" w:rsidRDefault="004125F5" w:rsidP="004125F5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średniorocznych występuje w punkcie o współrzędnych X = 368,9 Y = 84,9 m , wynosi 2,338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5,9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3B6EA4" w:rsidRDefault="003B6EA4" w:rsidP="00B74C23">
      <w:pPr>
        <w:spacing w:after="0" w:line="240" w:lineRule="auto"/>
      </w:pPr>
    </w:p>
    <w:sectPr w:rsidR="003B6EA4" w:rsidSect="00960839">
      <w:pgSz w:w="11907" w:h="16840"/>
      <w:pgMar w:top="851" w:right="567" w:bottom="567" w:left="1134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839" w:rsidRDefault="00960839" w:rsidP="00960839">
      <w:pPr>
        <w:spacing w:after="0" w:line="240" w:lineRule="auto"/>
      </w:pPr>
      <w:r>
        <w:separator/>
      </w:r>
    </w:p>
  </w:endnote>
  <w:endnote w:type="continuationSeparator" w:id="0">
    <w:p w:rsidR="00960839" w:rsidRDefault="00960839" w:rsidP="00960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C23" w:rsidRDefault="00B74C23">
    <w:pPr>
      <w:pStyle w:val="Stopka"/>
      <w:tabs>
        <w:tab w:val="center" w:pos="4536"/>
        <w:tab w:val="right" w:pos="9072"/>
      </w:tabs>
      <w:jc w:val="right"/>
      <w:rPr>
        <w:sz w:val="18"/>
        <w:szCs w:val="18"/>
      </w:rPr>
    </w:pPr>
    <w:r>
      <w:rPr>
        <w:sz w:val="18"/>
        <w:szCs w:val="18"/>
      </w:rPr>
      <w:t xml:space="preserve">Strona </w:t>
    </w:r>
    <w:r w:rsidR="00960839">
      <w:rPr>
        <w:sz w:val="18"/>
        <w:szCs w:val="18"/>
      </w:rPr>
      <w:fldChar w:fldCharType="begin"/>
    </w:r>
    <w:r>
      <w:rPr>
        <w:sz w:val="18"/>
        <w:szCs w:val="18"/>
      </w:rPr>
      <w:instrText xml:space="preserve">PAGE \* MERGEFORMAT </w:instrText>
    </w:r>
    <w:r w:rsidR="00960839">
      <w:rPr>
        <w:sz w:val="18"/>
        <w:szCs w:val="18"/>
      </w:rPr>
      <w:fldChar w:fldCharType="separate"/>
    </w:r>
    <w:r w:rsidR="0011021B">
      <w:rPr>
        <w:noProof/>
        <w:sz w:val="18"/>
        <w:szCs w:val="18"/>
      </w:rPr>
      <w:t>1</w:t>
    </w:r>
    <w:r w:rsidR="00960839">
      <w:rPr>
        <w:sz w:val="18"/>
        <w:szCs w:val="18"/>
      </w:rPr>
      <w:fldChar w:fldCharType="end"/>
    </w:r>
    <w:r>
      <w:rPr>
        <w:sz w:val="18"/>
        <w:szCs w:val="18"/>
      </w:rPr>
      <w:t>/</w:t>
    </w:r>
    <w:fldSimple w:instr="NUMPAGES \* MERGEFORMAT ">
      <w:r w:rsidR="0011021B">
        <w:rPr>
          <w:noProof/>
          <w:sz w:val="18"/>
          <w:szCs w:val="18"/>
        </w:rPr>
        <w:t>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839" w:rsidRDefault="00960839" w:rsidP="00960839">
      <w:pPr>
        <w:spacing w:after="0" w:line="240" w:lineRule="auto"/>
      </w:pPr>
      <w:r>
        <w:separator/>
      </w:r>
    </w:p>
  </w:footnote>
  <w:footnote w:type="continuationSeparator" w:id="0">
    <w:p w:rsidR="00960839" w:rsidRDefault="00960839" w:rsidP="00960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C23" w:rsidRDefault="00B74C23">
    <w:pPr>
      <w:pStyle w:val="Nagwek"/>
      <w:tabs>
        <w:tab w:val="center" w:pos="4536"/>
        <w:tab w:val="right" w:pos="9072"/>
      </w:tabs>
      <w:spacing w:after="60" w:line="240" w:lineRule="atLeast"/>
      <w:rPr>
        <w:sz w:val="16"/>
        <w:szCs w:val="16"/>
      </w:rPr>
    </w:pPr>
    <w:r>
      <w:rPr>
        <w:sz w:val="16"/>
        <w:szCs w:val="16"/>
      </w:rPr>
      <w:t xml:space="preserve">Studium Ochrony Atmosfery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6031"/>
    <w:rsid w:val="00024EBE"/>
    <w:rsid w:val="0011021B"/>
    <w:rsid w:val="001F0EC1"/>
    <w:rsid w:val="00200594"/>
    <w:rsid w:val="003B6EA4"/>
    <w:rsid w:val="004125F5"/>
    <w:rsid w:val="0063579C"/>
    <w:rsid w:val="00742806"/>
    <w:rsid w:val="007D1519"/>
    <w:rsid w:val="00935763"/>
    <w:rsid w:val="00960839"/>
    <w:rsid w:val="00A06031"/>
    <w:rsid w:val="00B74C23"/>
    <w:rsid w:val="00BF755E"/>
    <w:rsid w:val="00F61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0839"/>
  </w:style>
  <w:style w:type="paragraph" w:styleId="Nagwek1">
    <w:name w:val="heading 1"/>
    <w:basedOn w:val="Normalny"/>
    <w:next w:val="Normalny"/>
    <w:link w:val="Nagwek1Znak"/>
    <w:uiPriority w:val="99"/>
    <w:qFormat/>
    <w:rsid w:val="00A06031"/>
    <w:pPr>
      <w:widowControl w:val="0"/>
      <w:autoSpaceDE w:val="0"/>
      <w:autoSpaceDN w:val="0"/>
      <w:adjustRightInd w:val="0"/>
      <w:spacing w:before="240" w:after="60" w:line="380" w:lineRule="atLeast"/>
      <w:outlineLvl w:val="0"/>
    </w:pPr>
    <w:rPr>
      <w:rFonts w:ascii="Arial" w:eastAsiaTheme="minorEastAsia" w:hAnsi="Arial" w:cs="Arial"/>
      <w:b/>
      <w:bCs/>
      <w:sz w:val="24"/>
      <w:szCs w:val="24"/>
      <w:lang w:eastAsia="pl-PL"/>
    </w:rPr>
  </w:style>
  <w:style w:type="paragraph" w:styleId="Nagwek2">
    <w:name w:val="heading 2"/>
    <w:aliases w:val="Nagłówek 2 ATM"/>
    <w:basedOn w:val="Normalny"/>
    <w:next w:val="Normalny"/>
    <w:link w:val="Nagwek2Znak"/>
    <w:uiPriority w:val="99"/>
    <w:unhideWhenUsed/>
    <w:qFormat/>
    <w:rsid w:val="00935763"/>
    <w:pPr>
      <w:keepNext/>
      <w:keepLines/>
      <w:spacing w:before="240" w:after="120" w:line="720" w:lineRule="auto"/>
      <w:outlineLvl w:val="1"/>
    </w:pPr>
    <w:rPr>
      <w:rFonts w:ascii="Times New Roman" w:eastAsiaTheme="majorEastAsia" w:hAnsi="Times New Roman" w:cstheme="majorBidi"/>
      <w:b/>
      <w:bCs/>
      <w:color w:val="FFFFFF" w:themeColor="background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A06031"/>
    <w:pPr>
      <w:widowControl w:val="0"/>
      <w:autoSpaceDE w:val="0"/>
      <w:autoSpaceDN w:val="0"/>
      <w:adjustRightInd w:val="0"/>
      <w:spacing w:before="240" w:after="60" w:line="380" w:lineRule="atLeast"/>
      <w:outlineLvl w:val="2"/>
    </w:pPr>
    <w:rPr>
      <w:rFonts w:ascii="Tahoma" w:eastAsiaTheme="minorEastAsia" w:hAnsi="Tahoma" w:cs="Tahoma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A06031"/>
    <w:pPr>
      <w:widowControl w:val="0"/>
      <w:autoSpaceDE w:val="0"/>
      <w:autoSpaceDN w:val="0"/>
      <w:adjustRightInd w:val="0"/>
      <w:spacing w:after="0" w:line="380" w:lineRule="atLeast"/>
      <w:jc w:val="center"/>
      <w:outlineLvl w:val="3"/>
    </w:pPr>
    <w:rPr>
      <w:rFonts w:ascii="Arial" w:eastAsiaTheme="minorEastAsia" w:hAnsi="Arial" w:cs="Arial"/>
      <w:b/>
      <w:bCs/>
      <w:color w:val="000000"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A06031"/>
    <w:pPr>
      <w:widowControl w:val="0"/>
      <w:autoSpaceDE w:val="0"/>
      <w:autoSpaceDN w:val="0"/>
      <w:adjustRightInd w:val="0"/>
      <w:spacing w:before="240" w:after="0" w:line="380" w:lineRule="atLeast"/>
      <w:jc w:val="both"/>
      <w:outlineLvl w:val="4"/>
    </w:pPr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A06031"/>
    <w:pPr>
      <w:widowControl w:val="0"/>
      <w:autoSpaceDE w:val="0"/>
      <w:autoSpaceDN w:val="0"/>
      <w:adjustRightInd w:val="0"/>
      <w:spacing w:after="0" w:line="380" w:lineRule="atLeast"/>
      <w:outlineLvl w:val="5"/>
    </w:pPr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A06031"/>
    <w:pPr>
      <w:widowControl w:val="0"/>
      <w:autoSpaceDE w:val="0"/>
      <w:autoSpaceDN w:val="0"/>
      <w:adjustRightInd w:val="0"/>
      <w:spacing w:after="0" w:line="380" w:lineRule="atLeast"/>
      <w:jc w:val="both"/>
      <w:outlineLvl w:val="6"/>
    </w:pPr>
    <w:rPr>
      <w:rFonts w:ascii="Arial" w:eastAsiaTheme="minorEastAsia" w:hAnsi="Arial" w:cs="Arial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aliases w:val="Nagłówek 2 ATM Znak"/>
    <w:basedOn w:val="Domylnaczcionkaakapitu"/>
    <w:link w:val="Nagwek2"/>
    <w:uiPriority w:val="9"/>
    <w:rsid w:val="00935763"/>
    <w:rPr>
      <w:rFonts w:ascii="Times New Roman" w:eastAsiaTheme="majorEastAsia" w:hAnsi="Times New Roman" w:cstheme="majorBidi"/>
      <w:b/>
      <w:bCs/>
      <w:color w:val="FFFFFF" w:themeColor="background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9"/>
    <w:rsid w:val="00A06031"/>
    <w:rPr>
      <w:rFonts w:ascii="Arial" w:eastAsiaTheme="minorEastAsia" w:hAnsi="Arial" w:cs="Arial"/>
      <w:b/>
      <w:bCs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A06031"/>
    <w:rPr>
      <w:rFonts w:ascii="Tahoma" w:eastAsiaTheme="minorEastAsia" w:hAnsi="Tahoma" w:cs="Tahoma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A06031"/>
    <w:rPr>
      <w:rFonts w:ascii="Arial" w:eastAsiaTheme="minorEastAsia" w:hAnsi="Arial" w:cs="Arial"/>
      <w:b/>
      <w:bCs/>
      <w:color w:val="000000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A06031"/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A06031"/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A06031"/>
    <w:rPr>
      <w:rFonts w:ascii="Arial" w:eastAsiaTheme="minorEastAsia" w:hAnsi="Arial" w:cs="Arial"/>
      <w:b/>
      <w:bCs/>
      <w:sz w:val="24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06031"/>
    <w:rPr>
      <w:rFonts w:ascii="Times New Roman" w:eastAsiaTheme="minorEastAsia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A06031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06031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A06031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A06031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A06031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06031"/>
    <w:rPr>
      <w:rFonts w:ascii="Times New Roman" w:eastAsiaTheme="minorEastAsia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A06031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PlandokumentuZnak">
    <w:name w:val="Plan dokumentu Znak"/>
    <w:basedOn w:val="Domylnaczcionkaakapitu"/>
    <w:link w:val="Plandokumentu"/>
    <w:uiPriority w:val="99"/>
    <w:rsid w:val="00A06031"/>
    <w:rPr>
      <w:rFonts w:ascii="Tahoma" w:eastAsiaTheme="minorEastAsia" w:hAnsi="Tahoma" w:cs="Tahoma"/>
      <w:sz w:val="24"/>
      <w:szCs w:val="24"/>
      <w:shd w:val="clear" w:color="000080" w:fill="000080"/>
      <w:lang w:eastAsia="pl-PL"/>
    </w:rPr>
  </w:style>
  <w:style w:type="paragraph" w:styleId="Plandokumentu">
    <w:name w:val="Document Map"/>
    <w:basedOn w:val="Normalny"/>
    <w:link w:val="PlandokumentuZnak"/>
    <w:uiPriority w:val="99"/>
    <w:rsid w:val="00A06031"/>
    <w:pPr>
      <w:widowControl w:val="0"/>
      <w:shd w:val="clear" w:color="000080" w:fill="000080"/>
      <w:autoSpaceDE w:val="0"/>
      <w:autoSpaceDN w:val="0"/>
      <w:adjustRightInd w:val="0"/>
      <w:spacing w:after="0" w:line="380" w:lineRule="atLeast"/>
    </w:pPr>
    <w:rPr>
      <w:rFonts w:ascii="Tahoma" w:eastAsiaTheme="minorEastAsia" w:hAnsi="Tahoma" w:cs="Tahoma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06031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A06031"/>
    <w:pPr>
      <w:widowControl w:val="0"/>
      <w:autoSpaceDE w:val="0"/>
      <w:autoSpaceDN w:val="0"/>
      <w:adjustRightInd w:val="0"/>
      <w:spacing w:after="0" w:line="120" w:lineRule="atLeast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A06031"/>
    <w:rPr>
      <w:rFonts w:ascii="Times New Roman" w:eastAsiaTheme="minorEastAsia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A06031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06031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A06031"/>
    <w:pPr>
      <w:widowControl w:val="0"/>
      <w:autoSpaceDE w:val="0"/>
      <w:autoSpaceDN w:val="0"/>
      <w:adjustRightInd w:val="0"/>
      <w:spacing w:after="120" w:line="380" w:lineRule="atLeast"/>
      <w:ind w:left="283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A06031"/>
    <w:rPr>
      <w:rFonts w:ascii="Times New Roman" w:eastAsiaTheme="minorEastAsia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A06031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rsid w:val="00A06031"/>
    <w:rPr>
      <w:rFonts w:ascii="Tahoma" w:eastAsiaTheme="minorEastAsia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rsid w:val="00A06031"/>
    <w:pPr>
      <w:widowControl w:val="0"/>
      <w:autoSpaceDE w:val="0"/>
      <w:autoSpaceDN w:val="0"/>
      <w:adjustRightInd w:val="0"/>
      <w:spacing w:after="0" w:line="380" w:lineRule="atLeast"/>
    </w:pPr>
    <w:rPr>
      <w:rFonts w:ascii="Tahoma" w:eastAsiaTheme="minorEastAsi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9"/>
    <w:qFormat/>
    <w:rsid w:val="00A06031"/>
    <w:pPr>
      <w:widowControl w:val="0"/>
      <w:autoSpaceDE w:val="0"/>
      <w:autoSpaceDN w:val="0"/>
      <w:adjustRightInd w:val="0"/>
      <w:spacing w:before="240" w:after="60" w:line="380" w:lineRule="atLeast"/>
      <w:outlineLvl w:val="0"/>
    </w:pPr>
    <w:rPr>
      <w:rFonts w:ascii="Arial" w:eastAsiaTheme="minorEastAsia" w:hAnsi="Arial" w:cs="Arial"/>
      <w:b/>
      <w:bCs/>
      <w:sz w:val="24"/>
      <w:szCs w:val="24"/>
      <w:lang w:eastAsia="pl-PL"/>
    </w:rPr>
  </w:style>
  <w:style w:type="paragraph" w:styleId="Nagwek2">
    <w:name w:val="heading 2"/>
    <w:aliases w:val="Nagłówek 2 ATM"/>
    <w:basedOn w:val="Normalny"/>
    <w:next w:val="Normalny"/>
    <w:link w:val="Nagwek2Znak"/>
    <w:uiPriority w:val="99"/>
    <w:unhideWhenUsed/>
    <w:qFormat/>
    <w:rsid w:val="00935763"/>
    <w:pPr>
      <w:keepNext/>
      <w:keepLines/>
      <w:spacing w:before="240" w:after="120" w:line="720" w:lineRule="auto"/>
      <w:outlineLvl w:val="1"/>
    </w:pPr>
    <w:rPr>
      <w:rFonts w:ascii="Times New Roman" w:eastAsiaTheme="majorEastAsia" w:hAnsi="Times New Roman" w:cstheme="majorBidi"/>
      <w:b/>
      <w:bCs/>
      <w:color w:val="FFFFFF" w:themeColor="background1"/>
      <w:sz w:val="26"/>
      <w:szCs w:val="26"/>
      <w14:textFill>
        <w14:noFill/>
      </w14:textFill>
    </w:rPr>
  </w:style>
  <w:style w:type="paragraph" w:styleId="Nagwek3">
    <w:name w:val="heading 3"/>
    <w:basedOn w:val="Normalny"/>
    <w:next w:val="Normalny"/>
    <w:link w:val="Nagwek3Znak"/>
    <w:uiPriority w:val="99"/>
    <w:qFormat/>
    <w:rsid w:val="00A06031"/>
    <w:pPr>
      <w:widowControl w:val="0"/>
      <w:autoSpaceDE w:val="0"/>
      <w:autoSpaceDN w:val="0"/>
      <w:adjustRightInd w:val="0"/>
      <w:spacing w:before="240" w:after="60" w:line="380" w:lineRule="atLeast"/>
      <w:outlineLvl w:val="2"/>
    </w:pPr>
    <w:rPr>
      <w:rFonts w:ascii="Tahoma" w:eastAsiaTheme="minorEastAsia" w:hAnsi="Tahoma" w:cs="Tahoma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A06031"/>
    <w:pPr>
      <w:widowControl w:val="0"/>
      <w:autoSpaceDE w:val="0"/>
      <w:autoSpaceDN w:val="0"/>
      <w:adjustRightInd w:val="0"/>
      <w:spacing w:after="0" w:line="380" w:lineRule="atLeast"/>
      <w:jc w:val="center"/>
      <w:outlineLvl w:val="3"/>
    </w:pPr>
    <w:rPr>
      <w:rFonts w:ascii="Arial" w:eastAsiaTheme="minorEastAsia" w:hAnsi="Arial" w:cs="Arial"/>
      <w:b/>
      <w:bCs/>
      <w:color w:val="000000"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A06031"/>
    <w:pPr>
      <w:widowControl w:val="0"/>
      <w:autoSpaceDE w:val="0"/>
      <w:autoSpaceDN w:val="0"/>
      <w:adjustRightInd w:val="0"/>
      <w:spacing w:before="240" w:after="0" w:line="380" w:lineRule="atLeast"/>
      <w:jc w:val="both"/>
      <w:outlineLvl w:val="4"/>
    </w:pPr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A06031"/>
    <w:pPr>
      <w:widowControl w:val="0"/>
      <w:autoSpaceDE w:val="0"/>
      <w:autoSpaceDN w:val="0"/>
      <w:adjustRightInd w:val="0"/>
      <w:spacing w:after="0" w:line="380" w:lineRule="atLeast"/>
      <w:outlineLvl w:val="5"/>
    </w:pPr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A06031"/>
    <w:pPr>
      <w:widowControl w:val="0"/>
      <w:autoSpaceDE w:val="0"/>
      <w:autoSpaceDN w:val="0"/>
      <w:adjustRightInd w:val="0"/>
      <w:spacing w:after="0" w:line="380" w:lineRule="atLeast"/>
      <w:jc w:val="both"/>
      <w:outlineLvl w:val="6"/>
    </w:pPr>
    <w:rPr>
      <w:rFonts w:ascii="Arial" w:eastAsiaTheme="minorEastAsia" w:hAnsi="Arial" w:cs="Arial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aliases w:val="Nagłówek 2 ATM Znak"/>
    <w:basedOn w:val="Domylnaczcionkaakapitu"/>
    <w:link w:val="Nagwek2"/>
    <w:uiPriority w:val="9"/>
    <w:rsid w:val="00935763"/>
    <w:rPr>
      <w:rFonts w:ascii="Times New Roman" w:eastAsiaTheme="majorEastAsia" w:hAnsi="Times New Roman" w:cstheme="majorBidi"/>
      <w:b/>
      <w:bCs/>
      <w:color w:val="FFFFFF" w:themeColor="background1"/>
      <w:sz w:val="26"/>
      <w:szCs w:val="26"/>
      <w14:textFill>
        <w14:noFill/>
      </w14:textFill>
    </w:rPr>
  </w:style>
  <w:style w:type="character" w:customStyle="1" w:styleId="Nagwek1Znak">
    <w:name w:val="Nagłówek 1 Znak"/>
    <w:basedOn w:val="Domylnaczcionkaakapitu"/>
    <w:link w:val="Nagwek1"/>
    <w:uiPriority w:val="99"/>
    <w:rsid w:val="00A06031"/>
    <w:rPr>
      <w:rFonts w:ascii="Arial" w:eastAsiaTheme="minorEastAsia" w:hAnsi="Arial" w:cs="Arial"/>
      <w:b/>
      <w:bCs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A06031"/>
    <w:rPr>
      <w:rFonts w:ascii="Tahoma" w:eastAsiaTheme="minorEastAsia" w:hAnsi="Tahoma" w:cs="Tahoma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A06031"/>
    <w:rPr>
      <w:rFonts w:ascii="Arial" w:eastAsiaTheme="minorEastAsia" w:hAnsi="Arial" w:cs="Arial"/>
      <w:b/>
      <w:bCs/>
      <w:color w:val="000000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A06031"/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A06031"/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A06031"/>
    <w:rPr>
      <w:rFonts w:ascii="Arial" w:eastAsiaTheme="minorEastAsia" w:hAnsi="Arial" w:cs="Arial"/>
      <w:b/>
      <w:bCs/>
      <w:sz w:val="24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06031"/>
    <w:rPr>
      <w:rFonts w:ascii="Times New Roman" w:eastAsiaTheme="minorEastAsia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A06031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06031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A06031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A06031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A06031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06031"/>
    <w:rPr>
      <w:rFonts w:ascii="Times New Roman" w:eastAsiaTheme="minorEastAsia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A06031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uiPriority w:val="99"/>
    <w:rsid w:val="00A06031"/>
    <w:rPr>
      <w:rFonts w:ascii="Tahoma" w:eastAsiaTheme="minorEastAsia" w:hAnsi="Tahoma" w:cs="Tahoma"/>
      <w:sz w:val="24"/>
      <w:szCs w:val="24"/>
      <w:shd w:val="clear" w:color="000080" w:fill="000080"/>
      <w:lang w:eastAsia="pl-PL"/>
    </w:rPr>
  </w:style>
  <w:style w:type="paragraph" w:styleId="Mapadokumentu">
    <w:name w:val="Document Map"/>
    <w:basedOn w:val="Normalny"/>
    <w:link w:val="MapadokumentuZnak"/>
    <w:uiPriority w:val="99"/>
    <w:rsid w:val="00A06031"/>
    <w:pPr>
      <w:widowControl w:val="0"/>
      <w:shd w:val="clear" w:color="000080" w:fill="000080"/>
      <w:autoSpaceDE w:val="0"/>
      <w:autoSpaceDN w:val="0"/>
      <w:adjustRightInd w:val="0"/>
      <w:spacing w:after="0" w:line="380" w:lineRule="atLeast"/>
    </w:pPr>
    <w:rPr>
      <w:rFonts w:ascii="Tahoma" w:eastAsiaTheme="minorEastAsia" w:hAnsi="Tahoma" w:cs="Tahoma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06031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A06031"/>
    <w:pPr>
      <w:widowControl w:val="0"/>
      <w:autoSpaceDE w:val="0"/>
      <w:autoSpaceDN w:val="0"/>
      <w:adjustRightInd w:val="0"/>
      <w:spacing w:after="0" w:line="120" w:lineRule="atLeast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A06031"/>
    <w:rPr>
      <w:rFonts w:ascii="Times New Roman" w:eastAsiaTheme="minorEastAsia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A06031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06031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A06031"/>
    <w:pPr>
      <w:widowControl w:val="0"/>
      <w:autoSpaceDE w:val="0"/>
      <w:autoSpaceDN w:val="0"/>
      <w:adjustRightInd w:val="0"/>
      <w:spacing w:after="120" w:line="380" w:lineRule="atLeast"/>
      <w:ind w:left="283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A06031"/>
    <w:rPr>
      <w:rFonts w:ascii="Times New Roman" w:eastAsiaTheme="minorEastAsia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A06031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rsid w:val="00A06031"/>
    <w:rPr>
      <w:rFonts w:ascii="Tahoma" w:eastAsiaTheme="minorEastAsia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rsid w:val="00A06031"/>
    <w:pPr>
      <w:widowControl w:val="0"/>
      <w:autoSpaceDE w:val="0"/>
      <w:autoSpaceDN w:val="0"/>
      <w:adjustRightInd w:val="0"/>
      <w:spacing w:after="0" w:line="380" w:lineRule="atLeast"/>
    </w:pPr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1473</Words>
  <Characters>8839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ATmos</dc:creator>
  <cp:lastModifiedBy>ATmosfera-2010</cp:lastModifiedBy>
  <cp:revision>3</cp:revision>
  <cp:lastPrinted>2014-05-09T11:05:00Z</cp:lastPrinted>
  <dcterms:created xsi:type="dcterms:W3CDTF">2014-05-09T11:05:00Z</dcterms:created>
  <dcterms:modified xsi:type="dcterms:W3CDTF">2014-05-09T11:05:00Z</dcterms:modified>
</cp:coreProperties>
</file>